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7071" w14:textId="2FC84E0B" w:rsidR="00333B86" w:rsidRDefault="00304754" w:rsidP="00304754">
      <w:pPr>
        <w:jc w:val="center"/>
        <w:rPr>
          <w:b/>
          <w:bCs/>
        </w:rPr>
      </w:pPr>
      <w:r w:rsidRPr="00304754">
        <w:rPr>
          <w:b/>
          <w:bCs/>
        </w:rPr>
        <w:t>Framing the Trustee Role with an Estate Attorney</w:t>
      </w:r>
    </w:p>
    <w:p w14:paraId="779BDBA0" w14:textId="77777777" w:rsidR="00304754" w:rsidRDefault="00304754" w:rsidP="00304754">
      <w:pPr>
        <w:jc w:val="center"/>
        <w:rPr>
          <w:b/>
          <w:bCs/>
        </w:rPr>
      </w:pPr>
    </w:p>
    <w:p w14:paraId="76759A09" w14:textId="77777777" w:rsidR="00304754" w:rsidRPr="00304754" w:rsidRDefault="00304754" w:rsidP="00304754">
      <w:pPr>
        <w:rPr>
          <w:b/>
          <w:bCs/>
        </w:rPr>
      </w:pPr>
      <w:r w:rsidRPr="00304754">
        <w:rPr>
          <w:b/>
          <w:bCs/>
        </w:rPr>
        <w:t>Equips advisors to lead collaborative, informed discussions with attorneys while neutralizing common objections</w:t>
      </w:r>
    </w:p>
    <w:p w14:paraId="18A331B3" w14:textId="77777777" w:rsidR="00304754" w:rsidRPr="00304754" w:rsidRDefault="00304754" w:rsidP="00304754">
      <w:pPr>
        <w:rPr>
          <w:b/>
          <w:bCs/>
        </w:rPr>
      </w:pPr>
      <w:r w:rsidRPr="00304754">
        <w:rPr>
          <w:b/>
          <w:bCs/>
        </w:rPr>
        <w:pict w14:anchorId="59D1A338">
          <v:rect id="_x0000_i1025" style="width:0;height:1.5pt" o:hralign="center" o:hrstd="t" o:hr="t" fillcolor="#a0a0a0" stroked="f"/>
        </w:pict>
      </w:r>
    </w:p>
    <w:p w14:paraId="47B65F31" w14:textId="77777777" w:rsidR="00304754" w:rsidRPr="00304754" w:rsidRDefault="00304754" w:rsidP="00304754">
      <w:pPr>
        <w:rPr>
          <w:b/>
          <w:bCs/>
        </w:rPr>
      </w:pPr>
      <w:r w:rsidRPr="00304754">
        <w:rPr>
          <w:rFonts w:ascii="Segoe UI Emoji" w:hAnsi="Segoe UI Emoji" w:cs="Segoe UI Emoji"/>
          <w:b/>
          <w:bCs/>
        </w:rPr>
        <w:t>🧠</w:t>
      </w:r>
      <w:r w:rsidRPr="00304754">
        <w:rPr>
          <w:b/>
          <w:bCs/>
        </w:rPr>
        <w:t xml:space="preserve"> Story Setup: </w:t>
      </w:r>
      <w:r w:rsidRPr="00304754">
        <w:rPr>
          <w:b/>
          <w:bCs/>
          <w:i/>
          <w:iCs/>
        </w:rPr>
        <w:t>“The Drafting Details That Make or Break the Plan”</w:t>
      </w:r>
    </w:p>
    <w:p w14:paraId="3A6EB95C" w14:textId="77777777" w:rsidR="00304754" w:rsidRPr="00304754" w:rsidRDefault="00304754" w:rsidP="00304754">
      <w:pPr>
        <w:rPr>
          <w:b/>
          <w:bCs/>
        </w:rPr>
      </w:pPr>
      <w:r w:rsidRPr="00304754">
        <w:rPr>
          <w:b/>
          <w:bCs/>
          <w:i/>
          <w:iCs/>
        </w:rPr>
        <w:t xml:space="preserve">“A client once had a clean estate plan—until I read the draft trust. The word ‘shall’ </w:t>
      </w:r>
      <w:proofErr w:type="gramStart"/>
      <w:r w:rsidRPr="00304754">
        <w:rPr>
          <w:b/>
          <w:bCs/>
          <w:i/>
          <w:iCs/>
        </w:rPr>
        <w:t>locked</w:t>
      </w:r>
      <w:proofErr w:type="gramEnd"/>
      <w:r w:rsidRPr="00304754">
        <w:rPr>
          <w:b/>
          <w:bCs/>
          <w:i/>
          <w:iCs/>
        </w:rPr>
        <w:t xml:space="preserve"> the trust into a single state forever. Later, the family wanted access to a better trustee structure and couldn’t move. That one word cut off flexibility, and the client’s intent got boxed in.”</w:t>
      </w:r>
    </w:p>
    <w:p w14:paraId="44C9E11A" w14:textId="77777777" w:rsidR="00304754" w:rsidRPr="00304754" w:rsidRDefault="00304754" w:rsidP="00304754">
      <w:pPr>
        <w:rPr>
          <w:b/>
          <w:bCs/>
        </w:rPr>
      </w:pPr>
      <w:r w:rsidRPr="00304754">
        <w:rPr>
          <w:b/>
          <w:bCs/>
        </w:rPr>
        <w:pict w14:anchorId="5A6F85F7">
          <v:rect id="_x0000_i1026" style="width:0;height:1.5pt" o:hralign="center" o:hrstd="t" o:hr="t" fillcolor="#a0a0a0" stroked="f"/>
        </w:pict>
      </w:r>
    </w:p>
    <w:p w14:paraId="0FCD84C1" w14:textId="77777777" w:rsidR="00304754" w:rsidRPr="00304754" w:rsidRDefault="00304754" w:rsidP="00304754">
      <w:pPr>
        <w:rPr>
          <w:b/>
          <w:bCs/>
        </w:rPr>
      </w:pPr>
      <w:r w:rsidRPr="00304754">
        <w:rPr>
          <w:rFonts w:ascii="Segoe UI Emoji" w:hAnsi="Segoe UI Emoji" w:cs="Segoe UI Emoji"/>
          <w:b/>
          <w:bCs/>
        </w:rPr>
        <w:t>🎤</w:t>
      </w:r>
      <w:r w:rsidRPr="00304754">
        <w:rPr>
          <w:b/>
          <w:bCs/>
        </w:rPr>
        <w:t xml:space="preserve"> Conversation Opener: Setting the Right Tone</w:t>
      </w:r>
    </w:p>
    <w:p w14:paraId="5A6A9F94" w14:textId="77777777" w:rsidR="00304754" w:rsidRPr="00304754" w:rsidRDefault="00304754" w:rsidP="00304754">
      <w:pPr>
        <w:rPr>
          <w:b/>
          <w:bCs/>
        </w:rPr>
      </w:pPr>
      <w:r w:rsidRPr="00304754">
        <w:rPr>
          <w:b/>
          <w:bCs/>
          <w:i/>
          <w:iCs/>
        </w:rPr>
        <w:t>“Thanks for your time—I know clients depend on you to build documents that last. I wanted to share a few planning techniques that have helped clients preserve their advisor relationships and retain optionality through modern trustee structures.”</w:t>
      </w:r>
    </w:p>
    <w:p w14:paraId="4778C4D6" w14:textId="77777777" w:rsidR="00304754" w:rsidRPr="00304754" w:rsidRDefault="00304754" w:rsidP="00304754">
      <w:pPr>
        <w:rPr>
          <w:b/>
          <w:bCs/>
        </w:rPr>
      </w:pPr>
      <w:r w:rsidRPr="00304754">
        <w:rPr>
          <w:b/>
          <w:bCs/>
        </w:rPr>
        <w:pict w14:anchorId="037340C8">
          <v:rect id="_x0000_i1027" style="width:0;height:1.5pt" o:hralign="center" o:hrstd="t" o:hr="t" fillcolor="#a0a0a0" stroked="f"/>
        </w:pict>
      </w:r>
    </w:p>
    <w:p w14:paraId="7F2417EF" w14:textId="77777777" w:rsidR="00304754" w:rsidRPr="00304754" w:rsidRDefault="00304754" w:rsidP="00304754">
      <w:pPr>
        <w:rPr>
          <w:b/>
          <w:bCs/>
        </w:rPr>
      </w:pPr>
      <w:r w:rsidRPr="00304754">
        <w:rPr>
          <w:rFonts w:ascii="Segoe UI Emoji" w:hAnsi="Segoe UI Emoji" w:cs="Segoe UI Emoji"/>
          <w:b/>
          <w:bCs/>
        </w:rPr>
        <w:t>🧱</w:t>
      </w:r>
      <w:r w:rsidRPr="00304754">
        <w:rPr>
          <w:b/>
          <w:bCs/>
        </w:rPr>
        <w:t xml:space="preserve"> Core Points to Discuss</w:t>
      </w:r>
    </w:p>
    <w:p w14:paraId="26B735FE" w14:textId="77777777" w:rsidR="00304754" w:rsidRPr="00304754" w:rsidRDefault="00304754" w:rsidP="00304754">
      <w:pPr>
        <w:rPr>
          <w:b/>
          <w:bCs/>
        </w:rPr>
      </w:pPr>
      <w:r w:rsidRPr="00304754">
        <w:rPr>
          <w:b/>
          <w:bCs/>
        </w:rPr>
        <w:t>1. Governing Law: “May” vs. “Shall”</w:t>
      </w:r>
    </w:p>
    <w:p w14:paraId="5D9F2903" w14:textId="77777777" w:rsidR="00304754" w:rsidRPr="00304754" w:rsidRDefault="00304754" w:rsidP="00304754">
      <w:pPr>
        <w:rPr>
          <w:b/>
          <w:bCs/>
        </w:rPr>
      </w:pPr>
      <w:r w:rsidRPr="00304754">
        <w:rPr>
          <w:b/>
          <w:bCs/>
          <w:i/>
          <w:iCs/>
        </w:rPr>
        <w:t xml:space="preserve">“I’ve seen trusts that require a fixed governing law, often the client’s home state. I’d encourage using ‘may’ language instead. That way, the future trustee can adjust situs for better tax law, administrative flexibility, or modern trust </w:t>
      </w:r>
      <w:proofErr w:type="gramStart"/>
      <w:r w:rsidRPr="00304754">
        <w:rPr>
          <w:b/>
          <w:bCs/>
          <w:i/>
          <w:iCs/>
        </w:rPr>
        <w:t>tools.”</w:t>
      </w:r>
      <w:proofErr w:type="gramEnd"/>
    </w:p>
    <w:p w14:paraId="3DF54CD4" w14:textId="77777777" w:rsidR="00304754" w:rsidRPr="00304754" w:rsidRDefault="00304754" w:rsidP="00304754">
      <w:pPr>
        <w:rPr>
          <w:b/>
          <w:bCs/>
        </w:rPr>
      </w:pPr>
      <w:r w:rsidRPr="00304754">
        <w:rPr>
          <w:b/>
          <w:bCs/>
          <w:i/>
          <w:iCs/>
        </w:rPr>
        <w:t>“We’re headquartered in South Dakota, but we don’t ask you to name it now—just allow the trustee the ability to change it later, if it’s in the beneficiaries’ best interest. It’s about keeping the door open.”</w:t>
      </w:r>
    </w:p>
    <w:p w14:paraId="06913AB5" w14:textId="77777777" w:rsidR="00304754" w:rsidRPr="00304754" w:rsidRDefault="00304754" w:rsidP="00304754">
      <w:pPr>
        <w:rPr>
          <w:b/>
          <w:bCs/>
        </w:rPr>
      </w:pPr>
      <w:r w:rsidRPr="00304754">
        <w:rPr>
          <w:b/>
          <w:bCs/>
        </w:rPr>
        <w:pict w14:anchorId="7788E948">
          <v:rect id="_x0000_i1028" style="width:0;height:1.5pt" o:hralign="center" o:hrstd="t" o:hr="t" fillcolor="#a0a0a0" stroked="f"/>
        </w:pict>
      </w:r>
    </w:p>
    <w:p w14:paraId="0C85F57E" w14:textId="77777777" w:rsidR="00304754" w:rsidRPr="00304754" w:rsidRDefault="00304754" w:rsidP="00304754">
      <w:pPr>
        <w:rPr>
          <w:b/>
          <w:bCs/>
        </w:rPr>
      </w:pPr>
      <w:r w:rsidRPr="00304754">
        <w:rPr>
          <w:b/>
          <w:bCs/>
        </w:rPr>
        <w:t>2. Modern Trustee Tools: Directed Trusts</w:t>
      </w:r>
    </w:p>
    <w:p w14:paraId="0A279E0C" w14:textId="77777777" w:rsidR="00304754" w:rsidRPr="00304754" w:rsidRDefault="00304754" w:rsidP="00304754">
      <w:pPr>
        <w:rPr>
          <w:b/>
          <w:bCs/>
        </w:rPr>
      </w:pPr>
      <w:r w:rsidRPr="00304754">
        <w:rPr>
          <w:b/>
          <w:bCs/>
          <w:i/>
          <w:iCs/>
        </w:rPr>
        <w:t>“The client wants me to remain involved as the investment advisor after death or incapacity. The cleanest structure I’ve seen is a directed trust, where the trustee follows the investment advisor’s direction. No investment fiduciary liability for the trustee—it’s clearly defined.”</w:t>
      </w:r>
    </w:p>
    <w:p w14:paraId="2CE6D979" w14:textId="77777777" w:rsidR="00304754" w:rsidRPr="00304754" w:rsidRDefault="00304754" w:rsidP="00304754">
      <w:pPr>
        <w:rPr>
          <w:b/>
          <w:bCs/>
        </w:rPr>
      </w:pPr>
      <w:r w:rsidRPr="00304754">
        <w:rPr>
          <w:b/>
          <w:bCs/>
          <w:i/>
          <w:iCs/>
        </w:rPr>
        <w:lastRenderedPageBreak/>
        <w:t>“These structures aren’t new. Delaware implemented them in 1986. South Dakota has recognized them since 1997. This is how high-functioning families keep the right people doing what they do best.”</w:t>
      </w:r>
    </w:p>
    <w:p w14:paraId="2F31C9C1" w14:textId="77777777" w:rsidR="00304754" w:rsidRPr="00304754" w:rsidRDefault="00304754" w:rsidP="00304754">
      <w:pPr>
        <w:rPr>
          <w:b/>
          <w:bCs/>
        </w:rPr>
      </w:pPr>
      <w:r w:rsidRPr="00304754">
        <w:rPr>
          <w:b/>
          <w:bCs/>
        </w:rPr>
        <w:pict w14:anchorId="5A6A6AF0">
          <v:rect id="_x0000_i1029" style="width:0;height:1.5pt" o:hralign="center" o:hrstd="t" o:hr="t" fillcolor="#a0a0a0" stroked="f"/>
        </w:pict>
      </w:r>
    </w:p>
    <w:p w14:paraId="2415BFF1" w14:textId="77777777" w:rsidR="00304754" w:rsidRPr="00304754" w:rsidRDefault="00304754" w:rsidP="00304754">
      <w:pPr>
        <w:rPr>
          <w:b/>
          <w:bCs/>
        </w:rPr>
      </w:pPr>
      <w:r w:rsidRPr="00304754">
        <w:rPr>
          <w:b/>
          <w:bCs/>
        </w:rPr>
        <w:t>3. Removing and Replacing Trustees</w:t>
      </w:r>
    </w:p>
    <w:p w14:paraId="71713752" w14:textId="77777777" w:rsidR="00304754" w:rsidRPr="00304754" w:rsidRDefault="00304754" w:rsidP="00304754">
      <w:pPr>
        <w:rPr>
          <w:b/>
          <w:bCs/>
        </w:rPr>
      </w:pPr>
      <w:r w:rsidRPr="00304754">
        <w:rPr>
          <w:b/>
          <w:bCs/>
          <w:i/>
          <w:iCs/>
        </w:rPr>
        <w:t>“We also recommend allowing beneficiaries to remove and appoint a corporate trustee—with or without cause—</w:t>
      </w:r>
      <w:proofErr w:type="gramStart"/>
      <w:r w:rsidRPr="00304754">
        <w:rPr>
          <w:b/>
          <w:bCs/>
          <w:i/>
          <w:iCs/>
        </w:rPr>
        <w:t>as long as</w:t>
      </w:r>
      <w:proofErr w:type="gramEnd"/>
      <w:r w:rsidRPr="00304754">
        <w:rPr>
          <w:b/>
          <w:bCs/>
          <w:i/>
          <w:iCs/>
        </w:rPr>
        <w:t xml:space="preserve"> that trustee has, say, $1 billion in AUM or administration. That holds us accountable without compromising prudence.”</w:t>
      </w:r>
    </w:p>
    <w:p w14:paraId="1F643C87" w14:textId="77777777" w:rsidR="00304754" w:rsidRPr="00304754" w:rsidRDefault="00304754" w:rsidP="00304754">
      <w:pPr>
        <w:rPr>
          <w:b/>
          <w:bCs/>
        </w:rPr>
      </w:pPr>
      <w:r w:rsidRPr="00304754">
        <w:rPr>
          <w:b/>
          <w:bCs/>
          <w:i/>
          <w:iCs/>
        </w:rPr>
        <w:t xml:space="preserve">“And don’t worry—trust companies know when a beneficiary is shopping for someone who’ll say yes to every distribution. The questions are subtle, but we can spot </w:t>
      </w:r>
      <w:proofErr w:type="gramStart"/>
      <w:r w:rsidRPr="00304754">
        <w:rPr>
          <w:b/>
          <w:bCs/>
          <w:i/>
          <w:iCs/>
        </w:rPr>
        <w:t>it.”</w:t>
      </w:r>
      <w:proofErr w:type="gramEnd"/>
    </w:p>
    <w:p w14:paraId="6372C4B5" w14:textId="77777777" w:rsidR="00304754" w:rsidRPr="00304754" w:rsidRDefault="00304754" w:rsidP="00304754">
      <w:pPr>
        <w:rPr>
          <w:b/>
          <w:bCs/>
        </w:rPr>
      </w:pPr>
      <w:r w:rsidRPr="00304754">
        <w:rPr>
          <w:b/>
          <w:bCs/>
        </w:rPr>
        <w:pict w14:anchorId="3F9555B9">
          <v:rect id="_x0000_i1030" style="width:0;height:1.5pt" o:hralign="center" o:hrstd="t" o:hr="t" fillcolor="#a0a0a0" stroked="f"/>
        </w:pict>
      </w:r>
    </w:p>
    <w:p w14:paraId="44F14066" w14:textId="77777777" w:rsidR="00304754" w:rsidRPr="00304754" w:rsidRDefault="00304754" w:rsidP="00304754">
      <w:pPr>
        <w:rPr>
          <w:b/>
          <w:bCs/>
        </w:rPr>
      </w:pPr>
      <w:r w:rsidRPr="00304754">
        <w:rPr>
          <w:b/>
          <w:bCs/>
        </w:rPr>
        <w:t>4. Capital &amp; Surplus Requirements</w:t>
      </w:r>
    </w:p>
    <w:p w14:paraId="7640716D" w14:textId="77777777" w:rsidR="00304754" w:rsidRPr="00304754" w:rsidRDefault="00304754" w:rsidP="00304754">
      <w:pPr>
        <w:rPr>
          <w:b/>
          <w:bCs/>
        </w:rPr>
      </w:pPr>
      <w:r w:rsidRPr="00304754">
        <w:rPr>
          <w:b/>
          <w:bCs/>
          <w:i/>
          <w:iCs/>
        </w:rPr>
        <w:t>“In the old days, capital and surplus mattered when trust companies held bearer bonds in vaults. But today, nearly all assets are held at custodians like Schwab, Fidelity, Pershing, and LPL—all with billions in reserve.”</w:t>
      </w:r>
    </w:p>
    <w:p w14:paraId="214C63C7" w14:textId="77777777" w:rsidR="00304754" w:rsidRPr="00304754" w:rsidRDefault="00304754" w:rsidP="00304754">
      <w:pPr>
        <w:rPr>
          <w:b/>
          <w:bCs/>
        </w:rPr>
      </w:pPr>
      <w:r w:rsidRPr="00304754">
        <w:rPr>
          <w:b/>
          <w:bCs/>
          <w:i/>
          <w:iCs/>
        </w:rPr>
        <w:t xml:space="preserve">“What matters more now is: Does the trustee administer at scale? Do they support modern structures like directed trusts? And are they built to collaborate with advisors instead of </w:t>
      </w:r>
      <w:proofErr w:type="gramStart"/>
      <w:r w:rsidRPr="00304754">
        <w:rPr>
          <w:b/>
          <w:bCs/>
          <w:i/>
          <w:iCs/>
        </w:rPr>
        <w:t>replace</w:t>
      </w:r>
      <w:proofErr w:type="gramEnd"/>
      <w:r w:rsidRPr="00304754">
        <w:rPr>
          <w:b/>
          <w:bCs/>
          <w:i/>
          <w:iCs/>
        </w:rPr>
        <w:t xml:space="preserve"> them?”</w:t>
      </w:r>
    </w:p>
    <w:p w14:paraId="0A9C8278" w14:textId="77777777" w:rsidR="00304754" w:rsidRPr="00304754" w:rsidRDefault="00304754" w:rsidP="00304754">
      <w:pPr>
        <w:rPr>
          <w:b/>
          <w:bCs/>
        </w:rPr>
      </w:pPr>
      <w:r w:rsidRPr="00304754">
        <w:rPr>
          <w:b/>
          <w:bCs/>
          <w:i/>
          <w:iCs/>
        </w:rPr>
        <w:t xml:space="preserve">“Wealth Advisors Trust Company is at $3B+ in assets administered. That’s a better measure of stability than surplus from a legacy </w:t>
      </w:r>
      <w:proofErr w:type="gramStart"/>
      <w:r w:rsidRPr="00304754">
        <w:rPr>
          <w:b/>
          <w:bCs/>
          <w:i/>
          <w:iCs/>
        </w:rPr>
        <w:t>model.”</w:t>
      </w:r>
      <w:proofErr w:type="gramEnd"/>
    </w:p>
    <w:p w14:paraId="3145D969" w14:textId="77777777" w:rsidR="00304754" w:rsidRPr="00304754" w:rsidRDefault="00304754" w:rsidP="00304754">
      <w:pPr>
        <w:rPr>
          <w:b/>
          <w:bCs/>
        </w:rPr>
      </w:pPr>
      <w:r w:rsidRPr="00304754">
        <w:rPr>
          <w:b/>
          <w:bCs/>
        </w:rPr>
        <w:pict w14:anchorId="5F06808F">
          <v:rect id="_x0000_i1031" style="width:0;height:1.5pt" o:hralign="center" o:hrstd="t" o:hr="t" fillcolor="#a0a0a0" stroked="f"/>
        </w:pict>
      </w:r>
    </w:p>
    <w:p w14:paraId="5FB2643D" w14:textId="77777777" w:rsidR="00304754" w:rsidRPr="00304754" w:rsidRDefault="00304754" w:rsidP="00304754">
      <w:pPr>
        <w:rPr>
          <w:b/>
          <w:bCs/>
        </w:rPr>
      </w:pPr>
      <w:r w:rsidRPr="00304754">
        <w:rPr>
          <w:rFonts w:ascii="Segoe UI Emoji" w:hAnsi="Segoe UI Emoji" w:cs="Segoe UI Emoji"/>
          <w:b/>
          <w:bCs/>
        </w:rPr>
        <w:t>🔁</w:t>
      </w:r>
      <w:r w:rsidRPr="00304754">
        <w:rPr>
          <w:b/>
          <w:bCs/>
        </w:rPr>
        <w:t xml:space="preserve"> Common Attorney Pushbacks &amp; Advisor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7"/>
        <w:gridCol w:w="7003"/>
      </w:tblGrid>
      <w:tr w:rsidR="00304754" w:rsidRPr="00304754" w14:paraId="6D1E0045" w14:textId="77777777" w:rsidTr="00304754">
        <w:trPr>
          <w:tblHeader/>
          <w:tblCellSpacing w:w="15" w:type="dxa"/>
        </w:trPr>
        <w:tc>
          <w:tcPr>
            <w:tcW w:w="0" w:type="auto"/>
            <w:vAlign w:val="center"/>
            <w:hideMark/>
          </w:tcPr>
          <w:p w14:paraId="59BC62DB" w14:textId="77777777" w:rsidR="00304754" w:rsidRPr="00304754" w:rsidRDefault="00304754" w:rsidP="00304754">
            <w:pPr>
              <w:rPr>
                <w:b/>
                <w:bCs/>
              </w:rPr>
            </w:pPr>
            <w:r w:rsidRPr="00304754">
              <w:rPr>
                <w:b/>
                <w:bCs/>
              </w:rPr>
              <w:t>Pushback</w:t>
            </w:r>
          </w:p>
        </w:tc>
        <w:tc>
          <w:tcPr>
            <w:tcW w:w="0" w:type="auto"/>
            <w:vAlign w:val="center"/>
            <w:hideMark/>
          </w:tcPr>
          <w:p w14:paraId="2B295E93" w14:textId="77777777" w:rsidR="00304754" w:rsidRPr="00304754" w:rsidRDefault="00304754" w:rsidP="00304754">
            <w:pPr>
              <w:rPr>
                <w:b/>
                <w:bCs/>
              </w:rPr>
            </w:pPr>
            <w:r w:rsidRPr="00304754">
              <w:rPr>
                <w:b/>
                <w:bCs/>
              </w:rPr>
              <w:t>Advisor Response</w:t>
            </w:r>
          </w:p>
        </w:tc>
      </w:tr>
      <w:tr w:rsidR="00304754" w:rsidRPr="00304754" w14:paraId="1ACF8CD4" w14:textId="77777777" w:rsidTr="00304754">
        <w:trPr>
          <w:tblCellSpacing w:w="15" w:type="dxa"/>
        </w:trPr>
        <w:tc>
          <w:tcPr>
            <w:tcW w:w="0" w:type="auto"/>
            <w:vAlign w:val="center"/>
            <w:hideMark/>
          </w:tcPr>
          <w:p w14:paraId="32FD5339" w14:textId="77777777" w:rsidR="00304754" w:rsidRPr="00304754" w:rsidRDefault="00304754" w:rsidP="00304754">
            <w:pPr>
              <w:rPr>
                <w:b/>
                <w:bCs/>
              </w:rPr>
            </w:pPr>
            <w:r w:rsidRPr="00304754">
              <w:rPr>
                <w:b/>
                <w:bCs/>
                <w:i/>
                <w:iCs/>
              </w:rPr>
              <w:t>“I’ve never used South Dakota law.”</w:t>
            </w:r>
          </w:p>
        </w:tc>
        <w:tc>
          <w:tcPr>
            <w:tcW w:w="0" w:type="auto"/>
            <w:vAlign w:val="center"/>
            <w:hideMark/>
          </w:tcPr>
          <w:p w14:paraId="3B6E8ACC" w14:textId="77777777" w:rsidR="00304754" w:rsidRPr="00304754" w:rsidRDefault="00304754" w:rsidP="00304754">
            <w:pPr>
              <w:rPr>
                <w:b/>
                <w:bCs/>
              </w:rPr>
            </w:pPr>
            <w:r w:rsidRPr="00304754">
              <w:rPr>
                <w:b/>
                <w:bCs/>
              </w:rPr>
              <w:t>“Totally fair—and we’re not asking you to lock that in. Just include language that gives the trustee discretion to move situs for administrative purposes. It’s about giving the trust future flexibility, not dictating anything today.”</w:t>
            </w:r>
          </w:p>
        </w:tc>
      </w:tr>
      <w:tr w:rsidR="00304754" w:rsidRPr="00304754" w14:paraId="34F1264E" w14:textId="77777777" w:rsidTr="00304754">
        <w:trPr>
          <w:tblCellSpacing w:w="15" w:type="dxa"/>
        </w:trPr>
        <w:tc>
          <w:tcPr>
            <w:tcW w:w="0" w:type="auto"/>
            <w:vAlign w:val="center"/>
            <w:hideMark/>
          </w:tcPr>
          <w:p w14:paraId="275A56E4" w14:textId="77777777" w:rsidR="00304754" w:rsidRPr="00304754" w:rsidRDefault="00304754" w:rsidP="00304754">
            <w:pPr>
              <w:rPr>
                <w:b/>
                <w:bCs/>
              </w:rPr>
            </w:pPr>
            <w:r w:rsidRPr="00304754">
              <w:rPr>
                <w:b/>
                <w:bCs/>
                <w:i/>
                <w:iCs/>
              </w:rPr>
              <w:t>“Why wouldn’t the client just use a local bank?”</w:t>
            </w:r>
          </w:p>
        </w:tc>
        <w:tc>
          <w:tcPr>
            <w:tcW w:w="0" w:type="auto"/>
            <w:vAlign w:val="center"/>
            <w:hideMark/>
          </w:tcPr>
          <w:p w14:paraId="4FC4334E" w14:textId="77777777" w:rsidR="00304754" w:rsidRPr="00304754" w:rsidRDefault="00304754" w:rsidP="00304754">
            <w:pPr>
              <w:rPr>
                <w:b/>
                <w:bCs/>
              </w:rPr>
            </w:pPr>
            <w:r w:rsidRPr="00304754">
              <w:rPr>
                <w:b/>
                <w:bCs/>
              </w:rPr>
              <w:t xml:space="preserve">“Some local banks say they work with advisors, but it’s rarely a core competency. They may start cooperative, but down the road they often consolidate assets in-house. Directed trust </w:t>
            </w:r>
            <w:r w:rsidRPr="00304754">
              <w:rPr>
                <w:b/>
                <w:bCs/>
              </w:rPr>
              <w:lastRenderedPageBreak/>
              <w:t>laws prevent that drift—and clients deserve tools that preserve intent.”</w:t>
            </w:r>
          </w:p>
        </w:tc>
      </w:tr>
      <w:tr w:rsidR="00304754" w:rsidRPr="00304754" w14:paraId="1A7512A9" w14:textId="77777777" w:rsidTr="00304754">
        <w:trPr>
          <w:tblCellSpacing w:w="15" w:type="dxa"/>
        </w:trPr>
        <w:tc>
          <w:tcPr>
            <w:tcW w:w="0" w:type="auto"/>
            <w:vAlign w:val="center"/>
            <w:hideMark/>
          </w:tcPr>
          <w:p w14:paraId="2257588D" w14:textId="77777777" w:rsidR="00304754" w:rsidRPr="00304754" w:rsidRDefault="00304754" w:rsidP="00304754">
            <w:pPr>
              <w:rPr>
                <w:b/>
                <w:bCs/>
              </w:rPr>
            </w:pPr>
            <w:r w:rsidRPr="00304754">
              <w:rPr>
                <w:b/>
                <w:bCs/>
                <w:i/>
                <w:iCs/>
              </w:rPr>
              <w:lastRenderedPageBreak/>
              <w:t>“Allowing beneficiaries to remove trustees is dangerous.”</w:t>
            </w:r>
          </w:p>
        </w:tc>
        <w:tc>
          <w:tcPr>
            <w:tcW w:w="0" w:type="auto"/>
            <w:vAlign w:val="center"/>
            <w:hideMark/>
          </w:tcPr>
          <w:p w14:paraId="0BECE760" w14:textId="77777777" w:rsidR="00304754" w:rsidRPr="00304754" w:rsidRDefault="00304754" w:rsidP="00304754">
            <w:pPr>
              <w:rPr>
                <w:b/>
                <w:bCs/>
              </w:rPr>
            </w:pPr>
            <w:r w:rsidRPr="00304754">
              <w:rPr>
                <w:b/>
                <w:bCs/>
              </w:rPr>
              <w:t>“It could be—unless you set smart limits. Require the replacement to be a corporate trustee with at least $1B AUA. That gives control without risk. And it keeps trustees accountable, which clients appreciate.”</w:t>
            </w:r>
          </w:p>
        </w:tc>
      </w:tr>
      <w:tr w:rsidR="00304754" w:rsidRPr="00304754" w14:paraId="128EF133" w14:textId="77777777" w:rsidTr="00304754">
        <w:trPr>
          <w:tblCellSpacing w:w="15" w:type="dxa"/>
        </w:trPr>
        <w:tc>
          <w:tcPr>
            <w:tcW w:w="0" w:type="auto"/>
            <w:vAlign w:val="center"/>
            <w:hideMark/>
          </w:tcPr>
          <w:p w14:paraId="1859AD7F" w14:textId="77777777" w:rsidR="00304754" w:rsidRPr="00304754" w:rsidRDefault="00304754" w:rsidP="00304754">
            <w:pPr>
              <w:rPr>
                <w:b/>
                <w:bCs/>
              </w:rPr>
            </w:pPr>
            <w:r w:rsidRPr="00304754">
              <w:rPr>
                <w:b/>
                <w:bCs/>
                <w:i/>
                <w:iCs/>
              </w:rPr>
              <w:t>“I don’t like putting directed language into documents.”</w:t>
            </w:r>
          </w:p>
        </w:tc>
        <w:tc>
          <w:tcPr>
            <w:tcW w:w="0" w:type="auto"/>
            <w:vAlign w:val="center"/>
            <w:hideMark/>
          </w:tcPr>
          <w:p w14:paraId="43619B48" w14:textId="77777777" w:rsidR="00304754" w:rsidRPr="00304754" w:rsidRDefault="00304754" w:rsidP="00304754">
            <w:pPr>
              <w:rPr>
                <w:b/>
                <w:bCs/>
              </w:rPr>
            </w:pPr>
            <w:r w:rsidRPr="00304754">
              <w:rPr>
                <w:b/>
                <w:bCs/>
              </w:rPr>
              <w:t>“That makes sense, especially if it’s new to you. But the client wants to keep their advisor in the plan long-term. Directed trusts do that with legal clarity. They’ve been in use for decades in states like DE and SD—and WATC does nothing but directed trusts. This isn’t a workaround. It’s best practice.”</w:t>
            </w:r>
          </w:p>
        </w:tc>
      </w:tr>
    </w:tbl>
    <w:p w14:paraId="10C7F56A" w14:textId="77777777" w:rsidR="00304754" w:rsidRPr="00304754" w:rsidRDefault="00304754" w:rsidP="00304754">
      <w:pPr>
        <w:rPr>
          <w:b/>
          <w:bCs/>
        </w:rPr>
      </w:pPr>
      <w:r w:rsidRPr="00304754">
        <w:rPr>
          <w:b/>
          <w:bCs/>
        </w:rPr>
        <w:pict w14:anchorId="177ECC70">
          <v:rect id="_x0000_i1032" style="width:0;height:1.5pt" o:hralign="center" o:hrstd="t" o:hr="t" fillcolor="#a0a0a0" stroked="f"/>
        </w:pict>
      </w:r>
    </w:p>
    <w:p w14:paraId="621EACB6" w14:textId="77777777" w:rsidR="00304754" w:rsidRPr="00304754" w:rsidRDefault="00304754" w:rsidP="00304754">
      <w:pPr>
        <w:rPr>
          <w:b/>
          <w:bCs/>
        </w:rPr>
      </w:pPr>
      <w:r w:rsidRPr="00304754">
        <w:rPr>
          <w:rFonts w:ascii="Segoe UI Emoji" w:hAnsi="Segoe UI Emoji" w:cs="Segoe UI Emoji"/>
          <w:b/>
          <w:bCs/>
        </w:rPr>
        <w:t>📬</w:t>
      </w:r>
      <w:r w:rsidRPr="00304754">
        <w:rPr>
          <w:b/>
          <w:bCs/>
        </w:rPr>
        <w:t xml:space="preserve"> Offer to Collaborate</w:t>
      </w:r>
    </w:p>
    <w:p w14:paraId="4DD4ADB7" w14:textId="77777777" w:rsidR="00304754" w:rsidRPr="00304754" w:rsidRDefault="00304754" w:rsidP="00304754">
      <w:pPr>
        <w:rPr>
          <w:b/>
          <w:bCs/>
        </w:rPr>
      </w:pPr>
      <w:r w:rsidRPr="00304754">
        <w:rPr>
          <w:b/>
          <w:bCs/>
          <w:i/>
          <w:iCs/>
        </w:rPr>
        <w:t>“If you'd like to review sample language, I can send WATC’s drafting packet. They’re happy to customize it based on your preferences and the client’s structure. Totally your call, but it’s often easier than reinventing the wheel.”</w:t>
      </w:r>
    </w:p>
    <w:p w14:paraId="52257F1C" w14:textId="77777777" w:rsidR="00304754" w:rsidRPr="00304754" w:rsidRDefault="00304754" w:rsidP="00304754">
      <w:pPr>
        <w:rPr>
          <w:b/>
          <w:bCs/>
        </w:rPr>
      </w:pPr>
    </w:p>
    <w:sectPr w:rsidR="00304754" w:rsidRPr="00304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63"/>
    <w:rsid w:val="00304754"/>
    <w:rsid w:val="00306DA3"/>
    <w:rsid w:val="00333B86"/>
    <w:rsid w:val="0053253B"/>
    <w:rsid w:val="006C0163"/>
    <w:rsid w:val="006E072A"/>
    <w:rsid w:val="00D3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BBF11"/>
  <w15:chartTrackingRefBased/>
  <w15:docId w15:val="{21B5AB1E-9172-491B-AC50-DD9CE315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163"/>
    <w:rPr>
      <w:rFonts w:eastAsiaTheme="majorEastAsia" w:cstheme="majorBidi"/>
      <w:color w:val="272727" w:themeColor="text1" w:themeTint="D8"/>
    </w:rPr>
  </w:style>
  <w:style w:type="paragraph" w:styleId="Title">
    <w:name w:val="Title"/>
    <w:basedOn w:val="Normal"/>
    <w:next w:val="Normal"/>
    <w:link w:val="TitleChar"/>
    <w:uiPriority w:val="10"/>
    <w:qFormat/>
    <w:rsid w:val="006C0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163"/>
    <w:pPr>
      <w:spacing w:before="160"/>
      <w:jc w:val="center"/>
    </w:pPr>
    <w:rPr>
      <w:i/>
      <w:iCs/>
      <w:color w:val="404040" w:themeColor="text1" w:themeTint="BF"/>
    </w:rPr>
  </w:style>
  <w:style w:type="character" w:customStyle="1" w:styleId="QuoteChar">
    <w:name w:val="Quote Char"/>
    <w:basedOn w:val="DefaultParagraphFont"/>
    <w:link w:val="Quote"/>
    <w:uiPriority w:val="29"/>
    <w:rsid w:val="006C0163"/>
    <w:rPr>
      <w:i/>
      <w:iCs/>
      <w:color w:val="404040" w:themeColor="text1" w:themeTint="BF"/>
    </w:rPr>
  </w:style>
  <w:style w:type="paragraph" w:styleId="ListParagraph">
    <w:name w:val="List Paragraph"/>
    <w:basedOn w:val="Normal"/>
    <w:uiPriority w:val="34"/>
    <w:qFormat/>
    <w:rsid w:val="006C0163"/>
    <w:pPr>
      <w:ind w:left="720"/>
      <w:contextualSpacing/>
    </w:pPr>
  </w:style>
  <w:style w:type="character" w:styleId="IntenseEmphasis">
    <w:name w:val="Intense Emphasis"/>
    <w:basedOn w:val="DefaultParagraphFont"/>
    <w:uiPriority w:val="21"/>
    <w:qFormat/>
    <w:rsid w:val="006C0163"/>
    <w:rPr>
      <w:i/>
      <w:iCs/>
      <w:color w:val="0F4761" w:themeColor="accent1" w:themeShade="BF"/>
    </w:rPr>
  </w:style>
  <w:style w:type="paragraph" w:styleId="IntenseQuote">
    <w:name w:val="Intense Quote"/>
    <w:basedOn w:val="Normal"/>
    <w:next w:val="Normal"/>
    <w:link w:val="IntenseQuoteChar"/>
    <w:uiPriority w:val="30"/>
    <w:qFormat/>
    <w:rsid w:val="006C0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163"/>
    <w:rPr>
      <w:i/>
      <w:iCs/>
      <w:color w:val="0F4761" w:themeColor="accent1" w:themeShade="BF"/>
    </w:rPr>
  </w:style>
  <w:style w:type="character" w:styleId="IntenseReference">
    <w:name w:val="Intense Reference"/>
    <w:basedOn w:val="DefaultParagraphFont"/>
    <w:uiPriority w:val="32"/>
    <w:qFormat/>
    <w:rsid w:val="006C01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307126">
      <w:bodyDiv w:val="1"/>
      <w:marLeft w:val="0"/>
      <w:marRight w:val="0"/>
      <w:marTop w:val="0"/>
      <w:marBottom w:val="0"/>
      <w:divBdr>
        <w:top w:val="none" w:sz="0" w:space="0" w:color="auto"/>
        <w:left w:val="none" w:sz="0" w:space="0" w:color="auto"/>
        <w:bottom w:val="none" w:sz="0" w:space="0" w:color="auto"/>
        <w:right w:val="none" w:sz="0" w:space="0" w:color="auto"/>
      </w:divBdr>
      <w:divsChild>
        <w:div w:id="518861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0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906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62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279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22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92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73176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43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85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333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479460">
          <w:marLeft w:val="0"/>
          <w:marRight w:val="0"/>
          <w:marTop w:val="0"/>
          <w:marBottom w:val="0"/>
          <w:divBdr>
            <w:top w:val="none" w:sz="0" w:space="0" w:color="auto"/>
            <w:left w:val="none" w:sz="0" w:space="0" w:color="auto"/>
            <w:bottom w:val="none" w:sz="0" w:space="0" w:color="auto"/>
            <w:right w:val="none" w:sz="0" w:space="0" w:color="auto"/>
          </w:divBdr>
          <w:divsChild>
            <w:div w:id="758791064">
              <w:marLeft w:val="0"/>
              <w:marRight w:val="0"/>
              <w:marTop w:val="0"/>
              <w:marBottom w:val="0"/>
              <w:divBdr>
                <w:top w:val="none" w:sz="0" w:space="0" w:color="auto"/>
                <w:left w:val="none" w:sz="0" w:space="0" w:color="auto"/>
                <w:bottom w:val="none" w:sz="0" w:space="0" w:color="auto"/>
                <w:right w:val="none" w:sz="0" w:space="0" w:color="auto"/>
              </w:divBdr>
            </w:div>
          </w:divsChild>
        </w:div>
        <w:div w:id="1857307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3705</Characters>
  <Application>Microsoft Office Word</Application>
  <DocSecurity>0</DocSecurity>
  <Lines>90</Lines>
  <Paragraphs>105</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Holtby</dc:creator>
  <cp:keywords/>
  <dc:description/>
  <cp:lastModifiedBy>C Holtby</cp:lastModifiedBy>
  <cp:revision>2</cp:revision>
  <dcterms:created xsi:type="dcterms:W3CDTF">2025-06-15T22:33:00Z</dcterms:created>
  <dcterms:modified xsi:type="dcterms:W3CDTF">2025-06-15T22:34:00Z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148cae05-aa2e-4e91-8220-e1e29753371d</vt:lpwstr>
  </property>
</Properties>
</file>