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BD70" w14:textId="29B0FB64" w:rsidR="00333B86" w:rsidRDefault="00571FDA" w:rsidP="00571FDA">
      <w:pPr>
        <w:jc w:val="center"/>
        <w:rPr>
          <w:b/>
          <w:bCs/>
        </w:rPr>
      </w:pPr>
      <w:r w:rsidRPr="00571FDA">
        <w:rPr>
          <w:b/>
          <w:bCs/>
        </w:rPr>
        <w:t>Talking to Clients and Attorneys about Naming the Advisor and Trust Company in the Trust Documents</w:t>
      </w:r>
    </w:p>
    <w:p w14:paraId="2951FC01" w14:textId="77777777" w:rsidR="00571FDA" w:rsidRDefault="00571FDA" w:rsidP="00571FDA">
      <w:pPr>
        <w:rPr>
          <w:b/>
          <w:bCs/>
        </w:rPr>
      </w:pPr>
    </w:p>
    <w:p w14:paraId="2FE2189D" w14:textId="1019B2B0" w:rsidR="00571FDA" w:rsidRPr="00571FDA" w:rsidRDefault="00571FDA" w:rsidP="00571FDA">
      <w:pPr>
        <w:rPr>
          <w:b/>
          <w:bCs/>
          <w:i/>
          <w:iCs/>
          <w:u w:val="single"/>
        </w:rPr>
      </w:pPr>
      <w:r w:rsidRPr="00571FDA">
        <w:rPr>
          <w:b/>
          <w:bCs/>
          <w:i/>
          <w:iCs/>
          <w:u w:val="single"/>
        </w:rPr>
        <w:t>Part One: Talking with your client</w:t>
      </w:r>
    </w:p>
    <w:p w14:paraId="6CD5F4F8" w14:textId="77777777" w:rsidR="00571FDA" w:rsidRPr="00571FDA" w:rsidRDefault="00571FDA" w:rsidP="00571FDA">
      <w:pPr>
        <w:rPr>
          <w:b/>
          <w:bCs/>
        </w:rPr>
      </w:pPr>
      <w:r w:rsidRPr="00571FDA">
        <w:rPr>
          <w:b/>
          <w:bCs/>
        </w:rPr>
        <w:t xml:space="preserve">Story Setup: </w:t>
      </w:r>
      <w:r w:rsidRPr="00571FDA">
        <w:rPr>
          <w:b/>
          <w:bCs/>
          <w:i/>
          <w:iCs/>
        </w:rPr>
        <w:t>“How I Almost Lost a $12M Relationship”</w:t>
      </w:r>
    </w:p>
    <w:p w14:paraId="6723B5B8" w14:textId="77777777" w:rsidR="00571FDA" w:rsidRPr="00571FDA" w:rsidRDefault="00571FDA" w:rsidP="00571FDA">
      <w:pPr>
        <w:rPr>
          <w:b/>
          <w:bCs/>
        </w:rPr>
      </w:pPr>
      <w:r w:rsidRPr="00571FDA">
        <w:rPr>
          <w:b/>
          <w:bCs/>
          <w:i/>
          <w:iCs/>
        </w:rPr>
        <w:t>“I’d worked with the Smith family for nearly a decade. Everything was aligned—the portfolio, tax strategy, long-term goals. We talked about gifting, Roth conversions, even legacy planning. But we never explicitly discussed successor trustees.”</w:t>
      </w:r>
    </w:p>
    <w:p w14:paraId="5FFF35C6" w14:textId="77777777" w:rsidR="00571FDA" w:rsidRPr="00571FDA" w:rsidRDefault="00571FDA" w:rsidP="00571FDA">
      <w:pPr>
        <w:rPr>
          <w:b/>
          <w:bCs/>
        </w:rPr>
      </w:pPr>
      <w:r w:rsidRPr="00571FDA">
        <w:rPr>
          <w:b/>
          <w:bCs/>
          <w:i/>
          <w:iCs/>
        </w:rPr>
        <w:t>When Mr. Smith passed, I got a call from his son—not to talk about the plan, but to let me know the estate attorney had chosen a bank as trustee. That bank’s policy? Fire the current advisor and move everything to their in-house team.</w:t>
      </w:r>
    </w:p>
    <w:p w14:paraId="5CBED647" w14:textId="77777777" w:rsidR="00571FDA" w:rsidRPr="00571FDA" w:rsidRDefault="00571FDA" w:rsidP="00571FDA">
      <w:pPr>
        <w:rPr>
          <w:b/>
          <w:bCs/>
        </w:rPr>
      </w:pPr>
      <w:r w:rsidRPr="00571FDA">
        <w:rPr>
          <w:b/>
          <w:bCs/>
          <w:i/>
          <w:iCs/>
        </w:rPr>
        <w:t>One conversation could’ve changed the outcome. That’s why I don’t avoid the topic anymore—I guide it.”</w:t>
      </w:r>
    </w:p>
    <w:p w14:paraId="202F4A78" w14:textId="77777777" w:rsidR="00571FDA" w:rsidRPr="00571FDA" w:rsidRDefault="00571FDA" w:rsidP="00571FDA">
      <w:pPr>
        <w:rPr>
          <w:b/>
          <w:bCs/>
        </w:rPr>
      </w:pPr>
      <w:r w:rsidRPr="00571FDA">
        <w:rPr>
          <w:b/>
          <w:bCs/>
        </w:rPr>
        <w:pict w14:anchorId="47768C39">
          <v:rect id="_x0000_i1025" style="width:0;height:1.5pt" o:hralign="center" o:hrstd="t" o:hr="t" fillcolor="#a0a0a0" stroked="f"/>
        </w:pict>
      </w:r>
    </w:p>
    <w:p w14:paraId="5148ADEB"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Script: Opening the Conversation with a Client</w:t>
      </w:r>
    </w:p>
    <w:p w14:paraId="6C44DF6B" w14:textId="77777777" w:rsidR="00571FDA" w:rsidRPr="00571FDA" w:rsidRDefault="00571FDA" w:rsidP="00571FDA">
      <w:pPr>
        <w:rPr>
          <w:b/>
          <w:bCs/>
        </w:rPr>
      </w:pPr>
      <w:r w:rsidRPr="00571FDA">
        <w:rPr>
          <w:b/>
          <w:bCs/>
          <w:i/>
          <w:iCs/>
        </w:rPr>
        <w:t>“You’ve done a thoughtful job planning how your assets will be managed and passed on. One important piece many people overlook is who will carry that out—and how it might affect your family and your advisor relationships.”</w:t>
      </w:r>
    </w:p>
    <w:p w14:paraId="293BFDEA" w14:textId="77777777" w:rsidR="00571FDA" w:rsidRPr="00571FDA" w:rsidRDefault="00571FDA" w:rsidP="00571FDA">
      <w:pPr>
        <w:rPr>
          <w:b/>
          <w:bCs/>
        </w:rPr>
      </w:pPr>
      <w:r w:rsidRPr="00571FDA">
        <w:rPr>
          <w:b/>
          <w:bCs/>
          <w:i/>
          <w:iCs/>
        </w:rPr>
        <w:t>“Can I ask—have you named a successor trustee in your trust or will?”</w:t>
      </w:r>
    </w:p>
    <w:p w14:paraId="7D88BF2A" w14:textId="77777777" w:rsidR="00571FDA" w:rsidRPr="00571FDA" w:rsidRDefault="00571FDA" w:rsidP="00571FDA">
      <w:pPr>
        <w:rPr>
          <w:b/>
          <w:bCs/>
        </w:rPr>
      </w:pPr>
      <w:r w:rsidRPr="00571FDA">
        <w:rPr>
          <w:b/>
          <w:bCs/>
          <w:i/>
          <w:iCs/>
        </w:rPr>
        <w:t>[If yes, continue:] That’s great. Was that someone you know personally? Or did your attorney recommend a bank or corporate trustee?”</w:t>
      </w:r>
    </w:p>
    <w:p w14:paraId="021AA134" w14:textId="77777777" w:rsidR="00571FDA" w:rsidRPr="00571FDA" w:rsidRDefault="00571FDA" w:rsidP="00571FDA">
      <w:pPr>
        <w:rPr>
          <w:b/>
          <w:bCs/>
        </w:rPr>
      </w:pPr>
      <w:r w:rsidRPr="00571FDA">
        <w:rPr>
          <w:b/>
          <w:bCs/>
          <w:i/>
          <w:iCs/>
        </w:rPr>
        <w:t>[If unsure or no:] Totally understandable. This comes up often. The key question is: **when you’re not here, who do you trust to carry out your intent—without disrupting everything you’ve built?”</w:t>
      </w:r>
    </w:p>
    <w:p w14:paraId="52A6ED94" w14:textId="77777777" w:rsidR="00571FDA" w:rsidRPr="00571FDA" w:rsidRDefault="00571FDA" w:rsidP="00571FDA">
      <w:pPr>
        <w:rPr>
          <w:b/>
          <w:bCs/>
        </w:rPr>
      </w:pPr>
      <w:r w:rsidRPr="00571FDA">
        <w:rPr>
          <w:b/>
          <w:bCs/>
        </w:rPr>
        <w:pict w14:anchorId="29EE3143">
          <v:rect id="_x0000_i1026" style="width:0;height:1.5pt" o:hralign="center" o:hrstd="t" o:hr="t" fillcolor="#a0a0a0" stroked="f"/>
        </w:pict>
      </w:r>
    </w:p>
    <w:p w14:paraId="68F52E9E"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Bridge to Introducing WATC</w:t>
      </w:r>
    </w:p>
    <w:p w14:paraId="210A4ACD" w14:textId="77777777" w:rsidR="00571FDA" w:rsidRPr="00571FDA" w:rsidRDefault="00571FDA" w:rsidP="00571FDA">
      <w:pPr>
        <w:rPr>
          <w:b/>
          <w:bCs/>
        </w:rPr>
      </w:pPr>
      <w:r w:rsidRPr="00571FDA">
        <w:rPr>
          <w:b/>
          <w:bCs/>
          <w:i/>
          <w:iCs/>
        </w:rPr>
        <w:t xml:space="preserve">“Sometimes, families name a friend or relative as trustee. That works up to a point—but there’s often a lot of legal, tax, and paperwork burden that falls on </w:t>
      </w:r>
      <w:proofErr w:type="gramStart"/>
      <w:r w:rsidRPr="00571FDA">
        <w:rPr>
          <w:b/>
          <w:bCs/>
          <w:i/>
          <w:iCs/>
        </w:rPr>
        <w:t>them.”</w:t>
      </w:r>
      <w:proofErr w:type="gramEnd"/>
    </w:p>
    <w:p w14:paraId="22E4676D" w14:textId="77777777" w:rsidR="00571FDA" w:rsidRPr="00571FDA" w:rsidRDefault="00571FDA" w:rsidP="00571FDA">
      <w:pPr>
        <w:rPr>
          <w:b/>
          <w:bCs/>
        </w:rPr>
      </w:pPr>
      <w:r w:rsidRPr="00571FDA">
        <w:rPr>
          <w:b/>
          <w:bCs/>
          <w:i/>
          <w:iCs/>
        </w:rPr>
        <w:lastRenderedPageBreak/>
        <w:t>“On the other end, some attorneys insert a large bank. That sounds good—until the family realizes the bank doesn’t know them, charges high fees, and usually replaces the advisor you trust today.”</w:t>
      </w:r>
    </w:p>
    <w:p w14:paraId="2F6088FB" w14:textId="77777777" w:rsidR="00571FDA" w:rsidRPr="00571FDA" w:rsidRDefault="00571FDA" w:rsidP="00571FDA">
      <w:pPr>
        <w:rPr>
          <w:b/>
          <w:bCs/>
        </w:rPr>
      </w:pPr>
      <w:r w:rsidRPr="00571FDA">
        <w:rPr>
          <w:b/>
          <w:bCs/>
          <w:i/>
          <w:iCs/>
        </w:rPr>
        <w:t>“That’s why many of my clients name me to manage the assets, and a company like Wealth Advisors Trust Company to handle the legal and tax side. We work together so the people you trust are still involved—but it’s professionalized and protected.”</w:t>
      </w:r>
    </w:p>
    <w:p w14:paraId="2573CA7F" w14:textId="77777777" w:rsidR="00571FDA" w:rsidRPr="00571FDA" w:rsidRDefault="00571FDA" w:rsidP="00571FDA">
      <w:pPr>
        <w:rPr>
          <w:b/>
          <w:bCs/>
        </w:rPr>
      </w:pPr>
      <w:r w:rsidRPr="00571FDA">
        <w:rPr>
          <w:b/>
          <w:bCs/>
        </w:rPr>
        <w:pict w14:anchorId="31E4A6EA">
          <v:rect id="_x0000_i1027" style="width:0;height:1.5pt" o:hralign="center" o:hrstd="t" o:hr="t" fillcolor="#a0a0a0" stroked="f"/>
        </w:pict>
      </w:r>
    </w:p>
    <w:p w14:paraId="662C1E49"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If the Client </w:t>
      </w:r>
      <w:proofErr w:type="gramStart"/>
      <w:r w:rsidRPr="00571FDA">
        <w:rPr>
          <w:b/>
          <w:bCs/>
        </w:rPr>
        <w:t>Asks</w:t>
      </w:r>
      <w:proofErr w:type="gramEnd"/>
      <w:r w:rsidRPr="00571FDA">
        <w:rPr>
          <w:b/>
          <w:bCs/>
        </w:rPr>
        <w:t xml:space="preserve"> “Why Not Just Name You?”</w:t>
      </w:r>
    </w:p>
    <w:p w14:paraId="4592C08B" w14:textId="77777777" w:rsidR="00571FDA" w:rsidRPr="00571FDA" w:rsidRDefault="00571FDA" w:rsidP="00571FDA">
      <w:pPr>
        <w:rPr>
          <w:b/>
          <w:bCs/>
        </w:rPr>
      </w:pPr>
      <w:r w:rsidRPr="00571FDA">
        <w:rPr>
          <w:b/>
          <w:bCs/>
          <w:i/>
          <w:iCs/>
        </w:rPr>
        <w:t>“I’m glad you asked. Technically, I can’t act as a trustee—but I can stay in my role managing the investments and guiding your strategy. WATC handles the distributions, taxes, and legal coordination. That way you’re getting the best of both worlds—continuity and structure.”</w:t>
      </w:r>
    </w:p>
    <w:p w14:paraId="29F16F29" w14:textId="77777777" w:rsidR="00571FDA" w:rsidRPr="00571FDA" w:rsidRDefault="00571FDA" w:rsidP="00571FDA">
      <w:pPr>
        <w:rPr>
          <w:b/>
          <w:bCs/>
        </w:rPr>
      </w:pPr>
      <w:r w:rsidRPr="00571FDA">
        <w:rPr>
          <w:b/>
          <w:bCs/>
        </w:rPr>
        <w:pict w14:anchorId="2BE4351A">
          <v:rect id="_x0000_i1028" style="width:0;height:1.5pt" o:hralign="center" o:hrstd="t" o:hr="t" fillcolor="#a0a0a0" stroked="f"/>
        </w:pict>
      </w:r>
    </w:p>
    <w:p w14:paraId="2E42497E"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Follow-Up Offer</w:t>
      </w:r>
    </w:p>
    <w:p w14:paraId="400A3932" w14:textId="77777777" w:rsidR="00571FDA" w:rsidRPr="00571FDA" w:rsidRDefault="00571FDA" w:rsidP="00571FDA">
      <w:pPr>
        <w:rPr>
          <w:b/>
          <w:bCs/>
        </w:rPr>
      </w:pPr>
      <w:r w:rsidRPr="00571FDA">
        <w:rPr>
          <w:b/>
          <w:bCs/>
          <w:i/>
          <w:iCs/>
        </w:rPr>
        <w:t>“If you like, I can share a one-pager that outlines how this works. Or we could set up a short intro call with WATC—they don’t pitch, they just help your attorney get the right language in place.”</w:t>
      </w:r>
    </w:p>
    <w:p w14:paraId="5680D7DC" w14:textId="77777777" w:rsidR="00571FDA" w:rsidRDefault="00571FDA" w:rsidP="00571FDA">
      <w:pPr>
        <w:rPr>
          <w:b/>
          <w:bCs/>
        </w:rPr>
      </w:pPr>
    </w:p>
    <w:p w14:paraId="3875FF8E" w14:textId="5FBB895A" w:rsidR="00571FDA" w:rsidRPr="00571FDA" w:rsidRDefault="00571FDA" w:rsidP="00571FDA">
      <w:pPr>
        <w:rPr>
          <w:b/>
          <w:bCs/>
          <w:i/>
          <w:iCs/>
          <w:u w:val="single"/>
        </w:rPr>
      </w:pPr>
      <w:r w:rsidRPr="00571FDA">
        <w:rPr>
          <w:b/>
          <w:bCs/>
          <w:i/>
          <w:iCs/>
          <w:u w:val="single"/>
        </w:rPr>
        <w:t xml:space="preserve">Part </w:t>
      </w:r>
      <w:r w:rsidRPr="00571FDA">
        <w:rPr>
          <w:b/>
          <w:bCs/>
          <w:i/>
          <w:iCs/>
          <w:u w:val="single"/>
        </w:rPr>
        <w:t>Two</w:t>
      </w:r>
      <w:r w:rsidRPr="00571FDA">
        <w:rPr>
          <w:b/>
          <w:bCs/>
          <w:i/>
          <w:iCs/>
          <w:u w:val="single"/>
        </w:rPr>
        <w:t xml:space="preserve">: Talking with </w:t>
      </w:r>
      <w:r w:rsidRPr="00571FDA">
        <w:rPr>
          <w:b/>
          <w:bCs/>
          <w:i/>
          <w:iCs/>
          <w:u w:val="single"/>
        </w:rPr>
        <w:t>the client’s estate planning attorney</w:t>
      </w:r>
    </w:p>
    <w:p w14:paraId="2A0F65C2" w14:textId="77777777" w:rsidR="00571FDA" w:rsidRPr="00571FDA" w:rsidRDefault="00571FDA" w:rsidP="00571FDA">
      <w:pPr>
        <w:rPr>
          <w:b/>
          <w:bCs/>
        </w:rPr>
      </w:pPr>
      <w:r w:rsidRPr="00571FDA">
        <w:rPr>
          <w:b/>
          <w:bCs/>
        </w:rPr>
        <w:t xml:space="preserve">Story Setup: </w:t>
      </w:r>
      <w:r w:rsidRPr="00571FDA">
        <w:rPr>
          <w:b/>
          <w:bCs/>
          <w:i/>
          <w:iCs/>
        </w:rPr>
        <w:t>“Why One Sentence Cost My Client Their Investment Team”</w:t>
      </w:r>
    </w:p>
    <w:p w14:paraId="2BBF96B9" w14:textId="77777777" w:rsidR="00571FDA" w:rsidRPr="00571FDA" w:rsidRDefault="00571FDA" w:rsidP="00571FDA">
      <w:pPr>
        <w:rPr>
          <w:b/>
          <w:bCs/>
        </w:rPr>
      </w:pPr>
      <w:r w:rsidRPr="00571FDA">
        <w:rPr>
          <w:b/>
          <w:bCs/>
          <w:i/>
          <w:iCs/>
        </w:rPr>
        <w:t>“I once worked with a family who had $9M spread across managed accounts and illiquid real estate. We had a long-standing advisory relationship, deep financial planning in place, and good estate documents—or so I thought.”</w:t>
      </w:r>
    </w:p>
    <w:p w14:paraId="7006097A" w14:textId="77777777" w:rsidR="00571FDA" w:rsidRPr="00571FDA" w:rsidRDefault="00571FDA" w:rsidP="00571FDA">
      <w:pPr>
        <w:rPr>
          <w:b/>
          <w:bCs/>
        </w:rPr>
      </w:pPr>
      <w:r w:rsidRPr="00571FDA">
        <w:rPr>
          <w:b/>
          <w:bCs/>
          <w:i/>
          <w:iCs/>
        </w:rPr>
        <w:t>When the first spouse passed, the attorney activated the trust provisions, and without notifying anyone, the successor trustee (a large institutional bank) triggered a transfer of all assets into their proprietary platform. I lost the client. The family lost continuity. All because the trust had boilerplate language saying the trustee 'shall manage and invest the trust property'—and didn’t authorize a directed trust structure.</w:t>
      </w:r>
    </w:p>
    <w:p w14:paraId="32A67818" w14:textId="77777777" w:rsidR="00571FDA" w:rsidRPr="00571FDA" w:rsidRDefault="00571FDA" w:rsidP="00571FDA">
      <w:pPr>
        <w:rPr>
          <w:b/>
          <w:bCs/>
        </w:rPr>
      </w:pPr>
      <w:r w:rsidRPr="00571FDA">
        <w:rPr>
          <w:b/>
          <w:bCs/>
          <w:i/>
          <w:iCs/>
        </w:rPr>
        <w:t>That’s when I learned: if I’m not part of the legal drafting conversation, I’m already out of the plan.</w:t>
      </w:r>
    </w:p>
    <w:p w14:paraId="375A046A" w14:textId="77777777" w:rsidR="00571FDA" w:rsidRPr="00571FDA" w:rsidRDefault="00571FDA" w:rsidP="00571FDA">
      <w:pPr>
        <w:rPr>
          <w:b/>
          <w:bCs/>
        </w:rPr>
      </w:pPr>
      <w:r w:rsidRPr="00571FDA">
        <w:rPr>
          <w:b/>
          <w:bCs/>
        </w:rPr>
        <w:pict w14:anchorId="15D47AD4">
          <v:rect id="_x0000_i1033" style="width:0;height:1.5pt" o:hralign="center" o:hrstd="t" o:hr="t" fillcolor="#a0a0a0" stroked="f"/>
        </w:pict>
      </w:r>
    </w:p>
    <w:p w14:paraId="13682C3B" w14:textId="77777777" w:rsidR="00571FDA" w:rsidRPr="00571FDA" w:rsidRDefault="00571FDA" w:rsidP="00571FDA">
      <w:pPr>
        <w:rPr>
          <w:b/>
          <w:bCs/>
        </w:rPr>
      </w:pPr>
      <w:r w:rsidRPr="00571FDA">
        <w:rPr>
          <w:rFonts w:ascii="Segoe UI Emoji" w:hAnsi="Segoe UI Emoji" w:cs="Segoe UI Emoji"/>
          <w:b/>
          <w:bCs/>
        </w:rPr>
        <w:lastRenderedPageBreak/>
        <w:t>👥</w:t>
      </w:r>
      <w:r w:rsidRPr="00571FDA">
        <w:rPr>
          <w:b/>
          <w:bCs/>
        </w:rPr>
        <w:t xml:space="preserve"> Script: Starting the Conversation with an Attorney</w:t>
      </w:r>
    </w:p>
    <w:p w14:paraId="1E757F1F" w14:textId="77777777" w:rsidR="00571FDA" w:rsidRPr="00571FDA" w:rsidRDefault="00571FDA" w:rsidP="00571FDA">
      <w:pPr>
        <w:rPr>
          <w:b/>
          <w:bCs/>
        </w:rPr>
      </w:pPr>
      <w:r w:rsidRPr="00571FDA">
        <w:rPr>
          <w:b/>
          <w:bCs/>
          <w:i/>
          <w:iCs/>
        </w:rPr>
        <w:t>“I wanted to share something I’ve seen work well for clients who want to maintain continuity and simplicity when a trust gets funded—especially if they have a long-standing advisory relationship like ours.”</w:t>
      </w:r>
    </w:p>
    <w:p w14:paraId="1C9A77C5" w14:textId="77777777" w:rsidR="00571FDA" w:rsidRPr="00571FDA" w:rsidRDefault="00571FDA" w:rsidP="00571FDA">
      <w:pPr>
        <w:rPr>
          <w:b/>
          <w:bCs/>
        </w:rPr>
      </w:pPr>
      <w:r w:rsidRPr="00571FDA">
        <w:rPr>
          <w:b/>
          <w:bCs/>
          <w:i/>
          <w:iCs/>
        </w:rPr>
        <w:t>“More and more clients are asking about how to keep their advisor involved even after death or incapacity. The cleanest solution I’ve found is to use a directed or delegated trust structure.”</w:t>
      </w:r>
    </w:p>
    <w:p w14:paraId="6CF17A2F" w14:textId="77777777" w:rsidR="00571FDA" w:rsidRPr="00571FDA" w:rsidRDefault="00571FDA" w:rsidP="00571FDA">
      <w:pPr>
        <w:rPr>
          <w:b/>
          <w:bCs/>
        </w:rPr>
      </w:pPr>
      <w:r w:rsidRPr="00571FDA">
        <w:rPr>
          <w:b/>
          <w:bCs/>
        </w:rPr>
        <w:pict w14:anchorId="1378C819">
          <v:rect id="_x0000_i1034" style="width:0;height:1.5pt" o:hralign="center" o:hrstd="t" o:hr="t" fillcolor="#a0a0a0" stroked="f"/>
        </w:pict>
      </w:r>
    </w:p>
    <w:p w14:paraId="06E95111"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Explain What That Means</w:t>
      </w:r>
    </w:p>
    <w:p w14:paraId="3FD7B38C" w14:textId="77777777" w:rsidR="00571FDA" w:rsidRPr="00571FDA" w:rsidRDefault="00571FDA" w:rsidP="00571FDA">
      <w:pPr>
        <w:rPr>
          <w:b/>
          <w:bCs/>
        </w:rPr>
      </w:pPr>
      <w:r w:rsidRPr="00571FDA">
        <w:rPr>
          <w:b/>
          <w:bCs/>
          <w:i/>
          <w:iCs/>
        </w:rPr>
        <w:t>“With a directed trust, the trust document names the advisor (or a role like ‘investment advisor’) as the person who directs the trustee on investments. The trustee handles taxes, distributions, and administration—but does not have investment fiduciary liability.”</w:t>
      </w:r>
    </w:p>
    <w:p w14:paraId="510FC871" w14:textId="77777777" w:rsidR="00571FDA" w:rsidRPr="00571FDA" w:rsidRDefault="00571FDA" w:rsidP="00571FDA">
      <w:pPr>
        <w:rPr>
          <w:b/>
          <w:bCs/>
        </w:rPr>
      </w:pPr>
      <w:r w:rsidRPr="00571FDA">
        <w:rPr>
          <w:b/>
          <w:bCs/>
          <w:i/>
          <w:iCs/>
        </w:rPr>
        <w:t>“That’s good for everyone. The family keeps their trusted advisor. You, as the drafting attorney, get clarity on roles. And the trustee (like WATC) avoids fiduciary confusion.”</w:t>
      </w:r>
    </w:p>
    <w:p w14:paraId="658974EF" w14:textId="77777777" w:rsidR="00571FDA" w:rsidRPr="00571FDA" w:rsidRDefault="00571FDA" w:rsidP="00571FDA">
      <w:pPr>
        <w:rPr>
          <w:b/>
          <w:bCs/>
        </w:rPr>
      </w:pPr>
      <w:r w:rsidRPr="00571FDA">
        <w:rPr>
          <w:b/>
          <w:bCs/>
        </w:rPr>
        <w:pict w14:anchorId="1BA11996">
          <v:rect id="_x0000_i1035" style="width:0;height:1.5pt" o:hralign="center" o:hrstd="t" o:hr="t" fillcolor="#a0a0a0" stroked="f"/>
        </w:pict>
      </w:r>
    </w:p>
    <w:p w14:paraId="6557E584"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Offer Specific Drafting Help</w:t>
      </w:r>
    </w:p>
    <w:p w14:paraId="780CD9FB" w14:textId="77777777" w:rsidR="00571FDA" w:rsidRPr="00571FDA" w:rsidRDefault="00571FDA" w:rsidP="00571FDA">
      <w:pPr>
        <w:rPr>
          <w:b/>
          <w:bCs/>
        </w:rPr>
      </w:pPr>
      <w:r w:rsidRPr="00571FDA">
        <w:rPr>
          <w:b/>
          <w:bCs/>
          <w:i/>
          <w:iCs/>
        </w:rPr>
        <w:t>“I’m happy to introduce you to the trust officer at Wealth Advisors Trust Company—South Dakota-based, administrative-only. They’ll provide sample directed trust language so you can tailor it to your client’s structure.”</w:t>
      </w:r>
    </w:p>
    <w:p w14:paraId="20137B01" w14:textId="77777777" w:rsidR="00571FDA" w:rsidRPr="00571FDA" w:rsidRDefault="00571FDA" w:rsidP="00571FDA">
      <w:pPr>
        <w:rPr>
          <w:b/>
          <w:bCs/>
        </w:rPr>
      </w:pPr>
      <w:r w:rsidRPr="00571FDA">
        <w:rPr>
          <w:b/>
          <w:bCs/>
          <w:i/>
          <w:iCs/>
        </w:rPr>
        <w:t>“The only change you typically need to make is removing language that says the trustee shall manage or invest trust assets—and instead authorizing the investment advisor to direct the trustee. Everything else can stay flexible.”</w:t>
      </w:r>
    </w:p>
    <w:p w14:paraId="2662A2EA" w14:textId="77777777" w:rsidR="00571FDA" w:rsidRPr="00571FDA" w:rsidRDefault="00571FDA" w:rsidP="00571FDA">
      <w:pPr>
        <w:rPr>
          <w:b/>
          <w:bCs/>
        </w:rPr>
      </w:pPr>
      <w:r w:rsidRPr="00571FDA">
        <w:rPr>
          <w:b/>
          <w:bCs/>
        </w:rPr>
        <w:pict w14:anchorId="0E5F534E">
          <v:rect id="_x0000_i1036" style="width:0;height:1.5pt" o:hralign="center" o:hrstd="t" o:hr="t" fillcolor="#a0a0a0" stroked="f"/>
        </w:pict>
      </w:r>
    </w:p>
    <w:p w14:paraId="3110C4C6"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Bridge Back to Client Intent</w:t>
      </w:r>
    </w:p>
    <w:p w14:paraId="6B59AAA2" w14:textId="77777777" w:rsidR="00571FDA" w:rsidRPr="00571FDA" w:rsidRDefault="00571FDA" w:rsidP="00571FDA">
      <w:pPr>
        <w:rPr>
          <w:b/>
          <w:bCs/>
        </w:rPr>
      </w:pPr>
      <w:r w:rsidRPr="00571FDA">
        <w:rPr>
          <w:b/>
          <w:bCs/>
          <w:i/>
          <w:iCs/>
        </w:rPr>
        <w:t>“What I care about—and what the client cares about—is ensuring that the plan they built stays intact when the documents activate. That only happens when the trust language reflects the client’s intent for collaboration.”</w:t>
      </w:r>
    </w:p>
    <w:p w14:paraId="69F3E65C" w14:textId="77777777" w:rsidR="00571FDA" w:rsidRPr="00571FDA" w:rsidRDefault="00571FDA" w:rsidP="00571FDA">
      <w:pPr>
        <w:rPr>
          <w:b/>
          <w:bCs/>
        </w:rPr>
      </w:pPr>
      <w:r w:rsidRPr="00571FDA">
        <w:rPr>
          <w:b/>
          <w:bCs/>
          <w:i/>
          <w:iCs/>
        </w:rPr>
        <w:t>“And if the trust has ‘may’ versus ‘shall’ around investment management, or no reference to a directed structure, the risk is that the client’s plan gets rerouted without their input.”</w:t>
      </w:r>
    </w:p>
    <w:p w14:paraId="4CD94BA3" w14:textId="77777777" w:rsidR="00571FDA" w:rsidRPr="00571FDA" w:rsidRDefault="00571FDA" w:rsidP="00571FDA">
      <w:pPr>
        <w:rPr>
          <w:b/>
          <w:bCs/>
        </w:rPr>
      </w:pPr>
      <w:r w:rsidRPr="00571FDA">
        <w:rPr>
          <w:b/>
          <w:bCs/>
        </w:rPr>
        <w:lastRenderedPageBreak/>
        <w:pict w14:anchorId="7A0B9992">
          <v:rect id="_x0000_i1037" style="width:0;height:1.5pt" o:hralign="center" o:hrstd="t" o:hr="t" fillcolor="#a0a0a0" stroked="f"/>
        </w:pict>
      </w:r>
    </w:p>
    <w:p w14:paraId="47377B7D" w14:textId="77777777" w:rsidR="00571FDA" w:rsidRPr="00571FDA" w:rsidRDefault="00571FDA" w:rsidP="00571FDA">
      <w:pPr>
        <w:rPr>
          <w:b/>
          <w:bCs/>
        </w:rPr>
      </w:pPr>
      <w:r w:rsidRPr="00571FDA">
        <w:rPr>
          <w:rFonts w:ascii="Segoe UI Emoji" w:hAnsi="Segoe UI Emoji" w:cs="Segoe UI Emoji"/>
          <w:b/>
          <w:bCs/>
        </w:rPr>
        <w:t>📬</w:t>
      </w:r>
      <w:r w:rsidRPr="00571FDA">
        <w:rPr>
          <w:b/>
          <w:bCs/>
        </w:rPr>
        <w:t xml:space="preserve"> Follow-Up Offer</w:t>
      </w:r>
    </w:p>
    <w:p w14:paraId="36894AFE" w14:textId="77777777" w:rsidR="00571FDA" w:rsidRPr="00571FDA" w:rsidRDefault="00571FDA" w:rsidP="00571FDA">
      <w:pPr>
        <w:rPr>
          <w:b/>
          <w:bCs/>
        </w:rPr>
      </w:pPr>
      <w:r w:rsidRPr="00571FDA">
        <w:rPr>
          <w:b/>
          <w:bCs/>
          <w:i/>
          <w:iCs/>
        </w:rPr>
        <w:t>“Would it be helpful if I connected you with WATC so you can see how they typically handle this language? No obligation—just clarity.”</w:t>
      </w:r>
    </w:p>
    <w:p w14:paraId="32AEDEDF" w14:textId="77777777" w:rsidR="00571FDA" w:rsidRPr="00571FDA" w:rsidRDefault="00571FDA" w:rsidP="00571FDA">
      <w:pPr>
        <w:rPr>
          <w:b/>
          <w:bCs/>
        </w:rPr>
      </w:pPr>
    </w:p>
    <w:p w14:paraId="0082E41E" w14:textId="77777777" w:rsidR="00571FDA" w:rsidRPr="00571FDA" w:rsidRDefault="00571FDA" w:rsidP="00571FDA">
      <w:pPr>
        <w:rPr>
          <w:b/>
          <w:bCs/>
        </w:rPr>
      </w:pPr>
    </w:p>
    <w:p w14:paraId="3F40DF6A" w14:textId="77777777" w:rsidR="00571FDA" w:rsidRDefault="00571FDA"/>
    <w:sectPr w:rsidR="0057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DA"/>
    <w:rsid w:val="00333B86"/>
    <w:rsid w:val="0053253B"/>
    <w:rsid w:val="0054238A"/>
    <w:rsid w:val="00571FDA"/>
    <w:rsid w:val="006E072A"/>
    <w:rsid w:val="00D3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90E43"/>
  <w15:chartTrackingRefBased/>
  <w15:docId w15:val="{7948803E-9373-44E6-B70A-91651736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FDA"/>
    <w:rPr>
      <w:rFonts w:eastAsiaTheme="majorEastAsia" w:cstheme="majorBidi"/>
      <w:color w:val="272727" w:themeColor="text1" w:themeTint="D8"/>
    </w:rPr>
  </w:style>
  <w:style w:type="paragraph" w:styleId="Title">
    <w:name w:val="Title"/>
    <w:basedOn w:val="Normal"/>
    <w:next w:val="Normal"/>
    <w:link w:val="TitleChar"/>
    <w:uiPriority w:val="10"/>
    <w:qFormat/>
    <w:rsid w:val="0057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DA"/>
    <w:pPr>
      <w:spacing w:before="160"/>
      <w:jc w:val="center"/>
    </w:pPr>
    <w:rPr>
      <w:i/>
      <w:iCs/>
      <w:color w:val="404040" w:themeColor="text1" w:themeTint="BF"/>
    </w:rPr>
  </w:style>
  <w:style w:type="character" w:customStyle="1" w:styleId="QuoteChar">
    <w:name w:val="Quote Char"/>
    <w:basedOn w:val="DefaultParagraphFont"/>
    <w:link w:val="Quote"/>
    <w:uiPriority w:val="29"/>
    <w:rsid w:val="00571FDA"/>
    <w:rPr>
      <w:i/>
      <w:iCs/>
      <w:color w:val="404040" w:themeColor="text1" w:themeTint="BF"/>
    </w:rPr>
  </w:style>
  <w:style w:type="paragraph" w:styleId="ListParagraph">
    <w:name w:val="List Paragraph"/>
    <w:basedOn w:val="Normal"/>
    <w:uiPriority w:val="34"/>
    <w:qFormat/>
    <w:rsid w:val="00571FDA"/>
    <w:pPr>
      <w:ind w:left="720"/>
      <w:contextualSpacing/>
    </w:pPr>
  </w:style>
  <w:style w:type="character" w:styleId="IntenseEmphasis">
    <w:name w:val="Intense Emphasis"/>
    <w:basedOn w:val="DefaultParagraphFont"/>
    <w:uiPriority w:val="21"/>
    <w:qFormat/>
    <w:rsid w:val="00571FDA"/>
    <w:rPr>
      <w:i/>
      <w:iCs/>
      <w:color w:val="0F4761" w:themeColor="accent1" w:themeShade="BF"/>
    </w:rPr>
  </w:style>
  <w:style w:type="paragraph" w:styleId="IntenseQuote">
    <w:name w:val="Intense Quote"/>
    <w:basedOn w:val="Normal"/>
    <w:next w:val="Normal"/>
    <w:link w:val="IntenseQuoteChar"/>
    <w:uiPriority w:val="30"/>
    <w:qFormat/>
    <w:rsid w:val="00571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FDA"/>
    <w:rPr>
      <w:i/>
      <w:iCs/>
      <w:color w:val="0F4761" w:themeColor="accent1" w:themeShade="BF"/>
    </w:rPr>
  </w:style>
  <w:style w:type="character" w:styleId="IntenseReference">
    <w:name w:val="Intense Reference"/>
    <w:basedOn w:val="DefaultParagraphFont"/>
    <w:uiPriority w:val="32"/>
    <w:qFormat/>
    <w:rsid w:val="00571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83493">
      <w:bodyDiv w:val="1"/>
      <w:marLeft w:val="0"/>
      <w:marRight w:val="0"/>
      <w:marTop w:val="0"/>
      <w:marBottom w:val="0"/>
      <w:divBdr>
        <w:top w:val="none" w:sz="0" w:space="0" w:color="auto"/>
        <w:left w:val="none" w:sz="0" w:space="0" w:color="auto"/>
        <w:bottom w:val="none" w:sz="0" w:space="0" w:color="auto"/>
        <w:right w:val="none" w:sz="0" w:space="0" w:color="auto"/>
      </w:divBdr>
      <w:divsChild>
        <w:div w:id="5185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4339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37809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83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7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93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23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078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462610">
      <w:bodyDiv w:val="1"/>
      <w:marLeft w:val="0"/>
      <w:marRight w:val="0"/>
      <w:marTop w:val="0"/>
      <w:marBottom w:val="0"/>
      <w:divBdr>
        <w:top w:val="none" w:sz="0" w:space="0" w:color="auto"/>
        <w:left w:val="none" w:sz="0" w:space="0" w:color="auto"/>
        <w:bottom w:val="none" w:sz="0" w:space="0" w:color="auto"/>
        <w:right w:val="none" w:sz="0" w:space="0" w:color="auto"/>
      </w:divBdr>
      <w:divsChild>
        <w:div w:id="84883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14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02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666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7730">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0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6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9738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3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4581</Characters>
  <Application>Microsoft Office Word</Application>
  <DocSecurity>0</DocSecurity>
  <Lines>101</Lines>
  <Paragraphs>49</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Holtby</dc:creator>
  <cp:keywords/>
  <dc:description/>
  <cp:lastModifiedBy>C Holtby</cp:lastModifiedBy>
  <cp:revision>1</cp:revision>
  <dcterms:created xsi:type="dcterms:W3CDTF">2025-06-15T22:11:00Z</dcterms:created>
  <dcterms:modified xsi:type="dcterms:W3CDTF">2025-06-15T22:15:00Z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549cad21-8a64-4d4f-adee-f62b00808217</vt:lpwstr>
  </property>
</Properties>
</file>